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A53B51">
        <w:rPr>
          <w:b/>
          <w:color w:val="000000" w:themeColor="text1"/>
          <w:sz w:val="28"/>
          <w:szCs w:val="28"/>
        </w:rPr>
        <w:t>Право потребителя на выбор способа оплаты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 xml:space="preserve">Потребителю необходимо знать, что продавец (исполнитель, владелец </w:t>
      </w:r>
      <w:proofErr w:type="spellStart"/>
      <w:r w:rsidRPr="00A53B51">
        <w:rPr>
          <w:color w:val="000000" w:themeColor="text1"/>
          <w:sz w:val="28"/>
          <w:szCs w:val="28"/>
        </w:rPr>
        <w:t>агрегатора</w:t>
      </w:r>
      <w:proofErr w:type="spellEnd"/>
      <w:r w:rsidRPr="00A53B51">
        <w:rPr>
          <w:color w:val="000000" w:themeColor="text1"/>
          <w:sz w:val="28"/>
          <w:szCs w:val="28"/>
        </w:rPr>
        <w:t>) обязан обеспечить возможность оплаты товаров (работ, услуг) путём использования национальных платёжных инструментов, а также наличных расчётов по выбору потребителя.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>Данное положение закреплено в статье 16.1 Закона Российской Федерации от 07.02.1992 №2300-1 «О защите прав потребителей» (далее — Закон).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>При этом не допускается устанавливать различные цены на товары, работы или услуги в зависимости от способа их оплаты — наличным или безналичным расчётом, так как это прямо противоречит п. 4 ст. 16.1 Закона. Данный запрет обусловлен публичностью договоров, заключаемых с потребителем, то есть обязанностью продавца (исполнителя) реализовать товар (выполнить работу либо оказать услугу) каждому, кто к нему обратится.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 xml:space="preserve">Продавец (исполнитель, владелец </w:t>
      </w:r>
      <w:proofErr w:type="spellStart"/>
      <w:r w:rsidRPr="00A53B51">
        <w:rPr>
          <w:color w:val="000000" w:themeColor="text1"/>
          <w:sz w:val="28"/>
          <w:szCs w:val="28"/>
        </w:rPr>
        <w:t>агрегатора</w:t>
      </w:r>
      <w:proofErr w:type="spellEnd"/>
      <w:r w:rsidRPr="00A53B51">
        <w:rPr>
          <w:color w:val="000000" w:themeColor="text1"/>
          <w:sz w:val="28"/>
          <w:szCs w:val="28"/>
        </w:rPr>
        <w:t xml:space="preserve"> в случае использования в своей деятельности наличных расчётов с потребителем) обязан обеспечить возможность оплаты товаров (работ, услуг) путём использования национальных платёжных инструментов, а также наличных расчётов по выбору потребителя.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 xml:space="preserve">Обязанность обеспечить возможность оплаты товаров (работ, услуг) с использованием национальных платёжных инструментов в рамках национальной системы платёжных карт распространяется на продавца (исполнителя, владельца </w:t>
      </w:r>
      <w:proofErr w:type="spellStart"/>
      <w:r w:rsidRPr="00A53B51">
        <w:rPr>
          <w:color w:val="000000" w:themeColor="text1"/>
          <w:sz w:val="28"/>
          <w:szCs w:val="28"/>
        </w:rPr>
        <w:t>агрегатора</w:t>
      </w:r>
      <w:proofErr w:type="spellEnd"/>
      <w:r w:rsidRPr="00A53B51">
        <w:rPr>
          <w:color w:val="000000" w:themeColor="text1"/>
          <w:sz w:val="28"/>
          <w:szCs w:val="28"/>
        </w:rPr>
        <w:t>), у которого выручка от реализации товаров (выполнения работ, оказания услуг) за предшествующий календарный год превышает двадцать миллионов рублей.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>Если место оплаты товаров (работ, услуг) находится в месте, где не предоставляются услуги доступа к подвижной радиотелефонной связи и (или) средствам коллективного доступа к информационно-телекоммуникационной сети «Интернет», продавец (исполнитель) освобождается от обязанности обеспечить в этом месте возможность оплаты товаров (работ, услуг) с использованием национальных платёжных инструментов.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>Продавец освобождается от обязанности обеспечить возможность оплаты товаров с использованием национальных платёжных инструментов в торговом объекте, выручка от реализации товаров в котором составляет менее пяти миллионов рублей за предшествующий календарный год.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t>Установление продавцом (исполнителем) ограничений права потребителя на выбор формы оплаты товаров, работ или услуг относится к недопустимым условиям договора, заключаемого с потребителем (п. 2 ст. 16 Закона), и влечёт за собой обязанность по возмещению причинённых убытков.</w:t>
      </w:r>
    </w:p>
    <w:p w:rsidR="00A53B51" w:rsidRPr="00A53B51" w:rsidRDefault="00A53B51" w:rsidP="00A53B51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 w:themeColor="text1"/>
          <w:sz w:val="28"/>
          <w:szCs w:val="28"/>
        </w:rPr>
      </w:pPr>
      <w:r w:rsidRPr="00A53B51">
        <w:rPr>
          <w:color w:val="000000" w:themeColor="text1"/>
          <w:sz w:val="28"/>
          <w:szCs w:val="28"/>
        </w:rPr>
        <w:lastRenderedPageBreak/>
        <w:t>Кроме того, неисполнение обязанности по обеспечению возможности оплаты товаров (работ, услуг) путём наличных расчетов или с использованием национальных платёжных инструментов в рамках национальной системы платёжных карт по выбору потребителя влечёт административную ответственность продавца (исполнителя).</w:t>
      </w:r>
    </w:p>
    <w:p w:rsidR="00082EF2" w:rsidRPr="00A53B51" w:rsidRDefault="00B90433">
      <w:pPr>
        <w:rPr>
          <w:color w:val="000000" w:themeColor="text1"/>
        </w:rPr>
      </w:pPr>
    </w:p>
    <w:sectPr w:rsidR="00082EF2" w:rsidRPr="00A5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51"/>
    <w:rsid w:val="005A1221"/>
    <w:rsid w:val="005B769C"/>
    <w:rsid w:val="00A53B51"/>
    <w:rsid w:val="00B9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41D01-9FFA-48A6-9495-FEB90430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7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9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2026-07-16T08:13:00Z</dcterms:created>
  <dcterms:modified xsi:type="dcterms:W3CDTF">2026-07-16T08:13:00Z</dcterms:modified>
</cp:coreProperties>
</file>